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440"/>
          <w:tab w:val="left" w:leader="none" w:pos="-720"/>
          <w:tab w:val="left" w:leader="none" w:pos="0"/>
          <w:tab w:val="left" w:leader="none" w:pos="720"/>
          <w:tab w:val="left" w:leader="none" w:pos="1440"/>
          <w:tab w:val="left" w:leader="none" w:pos="171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16" w:lineRule="auto"/>
        <w:jc w:val="center"/>
        <w:rPr>
          <w:rFonts w:ascii="Calibri" w:cs="Calibri" w:eastAsia="Calibri" w:hAnsi="Calibri"/>
          <w:b w:val="1"/>
          <w:sz w:val="22"/>
          <w:szCs w:val="22"/>
        </w:rPr>
      </w:pPr>
      <w:bookmarkStart w:colFirst="0" w:colLast="0" w:name="_30j0zll" w:id="0"/>
      <w:bookmarkEnd w:id="0"/>
      <w:r w:rsidDel="00000000" w:rsidR="00000000" w:rsidRPr="00000000">
        <w:rPr>
          <w:rFonts w:ascii="Calibri" w:cs="Calibri" w:eastAsia="Calibri" w:hAnsi="Calibri"/>
          <w:b w:val="1"/>
          <w:sz w:val="22"/>
          <w:szCs w:val="22"/>
        </w:rPr>
        <w:drawing>
          <wp:anchor allowOverlap="1" behindDoc="0" distB="114300" distT="114300" distL="114300" distR="114300" hidden="0" layoutInCell="1" locked="0" relativeHeight="0" simplePos="0">
            <wp:simplePos x="0" y="0"/>
            <wp:positionH relativeFrom="margin">
              <wp:posOffset>0</wp:posOffset>
            </wp:positionH>
            <wp:positionV relativeFrom="margin">
              <wp:posOffset>139918</wp:posOffset>
            </wp:positionV>
            <wp:extent cx="5943600" cy="1028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0287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tabs>
          <w:tab w:val="left" w:leader="none" w:pos="-1440"/>
          <w:tab w:val="left" w:leader="none" w:pos="-720"/>
          <w:tab w:val="left" w:leader="none" w:pos="0"/>
          <w:tab w:val="left" w:leader="none" w:pos="720"/>
          <w:tab w:val="left" w:leader="none" w:pos="1440"/>
          <w:tab w:val="left" w:leader="none" w:pos="171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16"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tabs>
          <w:tab w:val="left" w:leader="none" w:pos="-1440"/>
          <w:tab w:val="left" w:leader="none" w:pos="-720"/>
          <w:tab w:val="left" w:leader="none" w:pos="0"/>
          <w:tab w:val="left" w:leader="none" w:pos="720"/>
          <w:tab w:val="left" w:leader="none" w:pos="1440"/>
          <w:tab w:val="left" w:leader="none" w:pos="171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1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March 13, 2024</w:t>
      </w:r>
    </w:p>
    <w:p w:rsidR="00000000" w:rsidDel="00000000" w:rsidP="00000000" w:rsidRDefault="00000000" w:rsidRPr="00000000" w14:paraId="00000004">
      <w:pPr>
        <w:tabs>
          <w:tab w:val="left" w:leader="none" w:pos="-1440"/>
          <w:tab w:val="left" w:leader="none" w:pos="-720"/>
          <w:tab w:val="left" w:leader="none" w:pos="0"/>
          <w:tab w:val="left" w:leader="none" w:pos="720"/>
          <w:tab w:val="left" w:leader="none" w:pos="1440"/>
          <w:tab w:val="left" w:leader="none" w:pos="171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1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tabs>
          <w:tab w:val="left" w:leader="none" w:pos="-1440"/>
          <w:tab w:val="left" w:leader="none" w:pos="-720"/>
          <w:tab w:val="left" w:leader="none" w:pos="0"/>
          <w:tab w:val="left" w:leader="none" w:pos="720"/>
          <w:tab w:val="left" w:leader="none" w:pos="1440"/>
          <w:tab w:val="left" w:leader="none" w:pos="171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16" w:lineRule="auto"/>
        <w:jc w:val="center"/>
        <w:rPr>
          <w:rFonts w:ascii="Calibri" w:cs="Calibri" w:eastAsia="Calibri" w:hAnsi="Calibri"/>
        </w:rPr>
      </w:pPr>
      <w:r w:rsidDel="00000000" w:rsidR="00000000" w:rsidRPr="00000000">
        <w:rPr>
          <w:rFonts w:ascii="Calibri" w:cs="Calibri" w:eastAsia="Calibri" w:hAnsi="Calibri"/>
          <w:b w:val="1"/>
          <w:rtl w:val="0"/>
        </w:rPr>
        <w:t xml:space="preserve">Medical Cannabis Laboratory Permit Applications Open </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bookmarkStart w:colFirst="0" w:colLast="0" w:name="_1fob9te" w:id="1"/>
      <w:bookmarkEnd w:id="1"/>
      <w:r w:rsidDel="00000000" w:rsidR="00000000" w:rsidRPr="00000000">
        <w:rPr>
          <w:rFonts w:ascii="Calibri" w:cs="Calibri" w:eastAsia="Calibri" w:hAnsi="Calibri"/>
          <w:b w:val="1"/>
          <w:rtl w:val="0"/>
        </w:rPr>
        <w:t xml:space="preserve">CHARLESTON, W.Va. –</w:t>
      </w:r>
      <w:r w:rsidDel="00000000" w:rsidR="00000000" w:rsidRPr="00000000">
        <w:rPr>
          <w:rFonts w:ascii="Calibri" w:cs="Calibri" w:eastAsia="Calibri" w:hAnsi="Calibri"/>
          <w:rtl w:val="0"/>
        </w:rPr>
        <w:t xml:space="preserve"> The West Virginia Department of Health’s Office of Medical Cannabis (OMC) continues to accept</w:t>
      </w:r>
      <w:r w:rsidDel="00000000" w:rsidR="00000000" w:rsidRPr="00000000">
        <w:rPr>
          <w:rFonts w:ascii="Calibri" w:cs="Calibri" w:eastAsia="Calibri" w:hAnsi="Calibri"/>
          <w:rtl w:val="0"/>
        </w:rPr>
        <w:t xml:space="preserve"> permit applications for medical cannabis laboratories. Laboratory permits are not limited in number and </w:t>
      </w:r>
      <w:r w:rsidDel="00000000" w:rsidR="00000000" w:rsidRPr="00000000">
        <w:rPr>
          <w:rFonts w:ascii="Calibri" w:cs="Calibri" w:eastAsia="Calibri" w:hAnsi="Calibri"/>
          <w:rtl w:val="0"/>
        </w:rPr>
        <w:t xml:space="preserve">the application process will remain open indefinitely. </w:t>
      </w:r>
    </w:p>
    <w:p w:rsidR="00000000" w:rsidDel="00000000" w:rsidP="00000000" w:rsidRDefault="00000000" w:rsidRPr="00000000" w14:paraId="00000008">
      <w:pPr>
        <w:jc w:val="both"/>
        <w:rPr>
          <w:rFonts w:ascii="Calibri" w:cs="Calibri" w:eastAsia="Calibri" w:hAnsi="Calibri"/>
        </w:rPr>
      </w:pPr>
      <w:bookmarkStart w:colFirst="0" w:colLast="0" w:name="_82xuuhgqs0zz" w:id="2"/>
      <w:bookmarkEnd w:id="2"/>
      <w:r w:rsidDel="00000000" w:rsidR="00000000" w:rsidRPr="00000000">
        <w:rPr>
          <w:rtl w:val="0"/>
        </w:rPr>
      </w:r>
    </w:p>
    <w:p w:rsidR="00000000" w:rsidDel="00000000" w:rsidP="00000000" w:rsidRDefault="00000000" w:rsidRPr="00000000" w14:paraId="00000009">
      <w:pPr>
        <w:jc w:val="both"/>
        <w:rPr>
          <w:rFonts w:ascii="Calibri" w:cs="Calibri" w:eastAsia="Calibri" w:hAnsi="Calibri"/>
          <w:u w:val="none"/>
        </w:rPr>
      </w:pPr>
      <w:bookmarkStart w:colFirst="0" w:colLast="0" w:name="_dbriy63u0dtk" w:id="3"/>
      <w:bookmarkEnd w:id="3"/>
      <w:r w:rsidDel="00000000" w:rsidR="00000000" w:rsidRPr="00000000">
        <w:rPr>
          <w:rFonts w:ascii="Calibri" w:cs="Calibri" w:eastAsia="Calibri" w:hAnsi="Calibri"/>
          <w:rtl w:val="0"/>
        </w:rPr>
        <w:t xml:space="preserve">A link to the web-based application is available at </w:t>
      </w:r>
      <w:hyperlink r:id="rId7">
        <w:r w:rsidDel="00000000" w:rsidR="00000000" w:rsidRPr="00000000">
          <w:rPr>
            <w:rFonts w:ascii="Calibri" w:cs="Calibri" w:eastAsia="Calibri" w:hAnsi="Calibri"/>
            <w:color w:val="1155cc"/>
            <w:u w:val="single"/>
            <w:rtl w:val="0"/>
          </w:rPr>
          <w:t xml:space="preserve">https://wv-public.mycomplia.com/login</w:t>
        </w:r>
      </w:hyperlink>
      <w:r w:rsidDel="00000000" w:rsidR="00000000" w:rsidRPr="00000000">
        <w:rPr>
          <w:rFonts w:ascii="Calibri" w:cs="Calibri" w:eastAsia="Calibri" w:hAnsi="Calibri"/>
          <w:color w:val="0000ff"/>
          <w:u w:val="none"/>
          <w:rtl w:val="0"/>
        </w:rPr>
        <w:t xml:space="preserve">.</w:t>
      </w:r>
      <w:r w:rsidDel="00000000" w:rsidR="00000000" w:rsidRPr="00000000">
        <w:rPr>
          <w:rFonts w:ascii="Calibri" w:cs="Calibri" w:eastAsia="Calibri" w:hAnsi="Calibri"/>
          <w:rtl w:val="0"/>
        </w:rPr>
        <w:t xml:space="preserve">It is important to note that for all new lab applications, applicants need to click on the register tab on the top right corner to start the application process. </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bookmarkStart w:colFirst="0" w:colLast="0" w:name="_6xn7q0d9bc8e" w:id="4"/>
      <w:bookmarkEnd w:id="4"/>
      <w:r w:rsidDel="00000000" w:rsidR="00000000" w:rsidRPr="00000000">
        <w:rPr>
          <w:rFonts w:ascii="Calibri" w:cs="Calibri" w:eastAsia="Calibri" w:hAnsi="Calibri"/>
          <w:color w:val="0000ff"/>
          <w:u w:val="none"/>
          <w:rtl w:val="0"/>
        </w:rPr>
        <w:br w:type="textWrapping"/>
      </w:r>
      <w:r w:rsidDel="00000000" w:rsidR="00000000" w:rsidRPr="00000000">
        <w:rPr>
          <w:rFonts w:ascii="Calibri" w:cs="Calibri" w:eastAsia="Calibri" w:hAnsi="Calibri"/>
          <w:rtl w:val="0"/>
        </w:rPr>
        <w:t xml:space="preserve">The West Virginia Medical Cannabis Act was enacted in 2017 to establish a safe and compassionate program for patients with qualifying medical conditions.</w:t>
      </w:r>
    </w:p>
    <w:p w:rsidR="00000000" w:rsidDel="00000000" w:rsidP="00000000" w:rsidRDefault="00000000" w:rsidRPr="00000000" w14:paraId="0000000B">
      <w:pPr>
        <w:jc w:val="both"/>
        <w:rPr>
          <w:rFonts w:ascii="Calibri" w:cs="Calibri" w:eastAsia="Calibri" w:hAnsi="Calibri"/>
        </w:rPr>
      </w:pPr>
      <w:bookmarkStart w:colFirst="0" w:colLast="0" w:name="_62r2duk8na96" w:id="5"/>
      <w:bookmarkEnd w:id="5"/>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bookmarkStart w:colFirst="0" w:colLast="0" w:name="_3znysh7" w:id="6"/>
      <w:bookmarkEnd w:id="6"/>
      <w:r w:rsidDel="00000000" w:rsidR="00000000" w:rsidRPr="00000000">
        <w:rPr>
          <w:rFonts w:ascii="Calibri" w:cs="Calibri" w:eastAsia="Calibri" w:hAnsi="Calibri"/>
          <w:rtl w:val="0"/>
        </w:rPr>
        <w:t xml:space="preserve">“Medical cannabis laboratories play an important role in ensuring products are safe and available for patient use,” said Crystal Lowe, Interim Director of the Office of Medical Cannabis. “We continue to work toward a goal of providing eligible West Virginia residents the ability to obtain quality-tested medical cannabis.”</w:t>
      </w:r>
    </w:p>
    <w:p w:rsidR="00000000" w:rsidDel="00000000" w:rsidP="00000000" w:rsidRDefault="00000000" w:rsidRPr="00000000" w14:paraId="0000000D">
      <w:pPr>
        <w:jc w:val="both"/>
        <w:rPr>
          <w:rFonts w:ascii="Calibri" w:cs="Calibri" w:eastAsia="Calibri" w:hAnsi="Calibri"/>
        </w:rPr>
      </w:pPr>
      <w:bookmarkStart w:colFirst="0" w:colLast="0" w:name="_rfugcp486err" w:id="7"/>
      <w:bookmarkEnd w:id="7"/>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bookmarkStart w:colFirst="0" w:colLast="0" w:name="_w7347zn6wk8h" w:id="8"/>
      <w:bookmarkEnd w:id="8"/>
      <w:r w:rsidDel="00000000" w:rsidR="00000000" w:rsidRPr="00000000">
        <w:rPr>
          <w:rFonts w:ascii="Calibri" w:cs="Calibri" w:eastAsia="Calibri" w:hAnsi="Calibri"/>
          <w:rtl w:val="0"/>
        </w:rPr>
        <w:t xml:space="preserve"> The OMC is responsible for overseeing the program, including the issuance of permits and the development of regulations. To learn more, </w:t>
      </w:r>
      <w:r w:rsidDel="00000000" w:rsidR="00000000" w:rsidRPr="00000000">
        <w:rPr>
          <w:rFonts w:ascii="Calibri" w:cs="Calibri" w:eastAsia="Calibri" w:hAnsi="Calibri"/>
          <w:rtl w:val="0"/>
        </w:rPr>
        <w:t xml:space="preserve">visit </w:t>
      </w:r>
      <w:hyperlink r:id="rId8">
        <w:r w:rsidDel="00000000" w:rsidR="00000000" w:rsidRPr="00000000">
          <w:rPr>
            <w:rFonts w:ascii="Calibri" w:cs="Calibri" w:eastAsia="Calibri" w:hAnsi="Calibri"/>
            <w:color w:val="1155cc"/>
            <w:u w:val="single"/>
            <w:rtl w:val="0"/>
          </w:rPr>
          <w:t xml:space="preserve">https://omc.wv.gov/Pages/default.aspx</w:t>
        </w:r>
      </w:hyperlink>
      <w:r w:rsidDel="00000000" w:rsidR="00000000" w:rsidRPr="00000000">
        <w:rPr>
          <w:rtl w:val="0"/>
        </w:rPr>
      </w:r>
    </w:p>
    <w:p w:rsidR="00000000" w:rsidDel="00000000" w:rsidP="00000000" w:rsidRDefault="00000000" w:rsidRPr="00000000" w14:paraId="0000000F">
      <w:pPr>
        <w:jc w:val="both"/>
        <w:rPr>
          <w:rFonts w:ascii="Arial" w:cs="Arial" w:eastAsia="Arial" w:hAnsi="Arial"/>
          <w:sz w:val="21"/>
          <w:szCs w:val="21"/>
          <w:highlight w:val="white"/>
        </w:rPr>
      </w:pPr>
      <w:bookmarkStart w:colFirst="0" w:colLast="0" w:name="_7p7i2ctqzugv" w:id="9"/>
      <w:bookmarkEnd w:id="9"/>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bookmarkStart w:colFirst="0" w:colLast="0" w:name="_7p7i2ctqzugv" w:id="9"/>
      <w:bookmarkEnd w:id="9"/>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2">
      <w:pPr>
        <w:shd w:fill="ffffff" w:val="clear"/>
        <w:spacing w:line="216"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3">
      <w:pPr>
        <w:shd w:fill="ffffff" w:val="clear"/>
        <w:spacing w:line="21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14">
      <w:pPr>
        <w:shd w:fill="ffffff" w:val="clear"/>
        <w:spacing w:line="216" w:lineRule="auto"/>
        <w:jc w:val="center"/>
        <w:rPr>
          <w:rFonts w:ascii="Calibri" w:cs="Calibri" w:eastAsia="Calibri" w:hAnsi="Calibri"/>
        </w:rPr>
      </w:pPr>
      <w:r w:rsidDel="00000000" w:rsidR="00000000" w:rsidRPr="00000000">
        <w:rPr>
          <w:rFonts w:ascii="Calibri" w:cs="Calibri" w:eastAsia="Calibri" w:hAnsi="Calibri"/>
          <w:rtl w:val="0"/>
        </w:rPr>
        <w:t xml:space="preserve">Media Contact: </w:t>
      </w:r>
      <w:hyperlink r:id="rId9">
        <w:r w:rsidDel="00000000" w:rsidR="00000000" w:rsidRPr="00000000">
          <w:rPr>
            <w:rFonts w:ascii="Calibri" w:cs="Calibri" w:eastAsia="Calibri" w:hAnsi="Calibri"/>
            <w:color w:val="1155cc"/>
            <w:u w:val="single"/>
            <w:rtl w:val="0"/>
          </w:rPr>
          <w:t xml:space="preserve">DHCommunications@wv.gov</w:t>
        </w:r>
      </w:hyperlink>
      <w:r w:rsidDel="00000000" w:rsidR="00000000" w:rsidRPr="00000000">
        <w:rPr>
          <w:rtl w:val="0"/>
        </w:rPr>
      </w:r>
    </w:p>
    <w:p w:rsidR="00000000" w:rsidDel="00000000" w:rsidP="00000000" w:rsidRDefault="00000000" w:rsidRPr="00000000" w14:paraId="00000015">
      <w:pPr>
        <w:tabs>
          <w:tab w:val="left" w:leader="none" w:pos="-1440"/>
          <w:tab w:val="left" w:leader="none" w:pos="-720"/>
          <w:tab w:val="left" w:leader="none" w:pos="-450"/>
          <w:tab w:val="left" w:leader="none" w:pos="720"/>
          <w:tab w:val="left" w:leader="none" w:pos="1440"/>
          <w:tab w:val="left" w:leader="none" w:pos="171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16" w:lineRule="auto"/>
        <w:ind w:left="-720" w:firstLine="0"/>
        <w:jc w:val="center"/>
        <w:rPr>
          <w:rFonts w:ascii="Calibri" w:cs="Calibri" w:eastAsia="Calibri" w:hAnsi="Calibri"/>
          <w:color w:val="02025e"/>
        </w:rPr>
      </w:pPr>
      <w:r w:rsidDel="00000000" w:rsidR="00000000" w:rsidRPr="00000000">
        <w:rPr>
          <w:rtl w:val="0"/>
        </w:rPr>
      </w:r>
    </w:p>
    <w:p w:rsidR="00000000" w:rsidDel="00000000" w:rsidP="00000000" w:rsidRDefault="00000000" w:rsidRPr="00000000" w14:paraId="00000016">
      <w:pPr>
        <w:rPr/>
      </w:pPr>
      <w:bookmarkStart w:colFirst="0" w:colLast="0" w:name="_2et92p0" w:id="10"/>
      <w:bookmarkEnd w:id="10"/>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headerReference r:id="rId10" w:type="default"/>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left" w:leader="none" w:pos="-1440"/>
        <w:tab w:val="left" w:leader="none" w:pos="-720"/>
        <w:tab w:val="left" w:leader="none" w:pos="0"/>
        <w:tab w:val="left" w:leader="none" w:pos="720"/>
        <w:tab w:val="left" w:leader="none" w:pos="1440"/>
        <w:tab w:val="left" w:leader="none" w:pos="1717"/>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16"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s://omc.wv.gov/Pages/default.aspx" TargetMode="Externa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yperlink" Target="https://wv-public.mycomplia.com/login"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mailto:DHCommunications@w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EB7D15FC4674EA5193873BBA6DA50" ma:contentTypeVersion="1" ma:contentTypeDescription="Create a new document." ma:contentTypeScope="" ma:versionID="f336b999400d09d28245c61c86df679d">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385A0D-5F15-4205-9891-846B38226F56}"/>
</file>

<file path=customXml/itemProps2.xml><?xml version="1.0" encoding="utf-8"?>
<ds:datastoreItem xmlns:ds="http://schemas.openxmlformats.org/officeDocument/2006/customXml" ds:itemID="{67E8DDE6-1C00-4944-A566-CA3B429F661D}"/>
</file>

<file path=customXml/itemProps3.xml><?xml version="1.0" encoding="utf-8"?>
<ds:datastoreItem xmlns:ds="http://schemas.openxmlformats.org/officeDocument/2006/customXml" ds:itemID="{0F14365D-330B-48E4-A18C-952F852CD66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0x010100AD6EB7D15FC4674EA5193873BBA6DA50</vt:lpwstr>
  </property>
</Properties>
</file>